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E562" w14:textId="77777777" w:rsidR="008627D9" w:rsidRDefault="008627D9" w:rsidP="00751D04">
      <w:pPr>
        <w:spacing w:after="0" w:line="240" w:lineRule="auto"/>
        <w:jc w:val="center"/>
        <w:rPr>
          <w:rFonts w:ascii="Arial" w:hAnsi="Arial" w:cs="Arial"/>
          <w:b/>
          <w:bCs/>
          <w:sz w:val="28"/>
          <w:szCs w:val="28"/>
        </w:rPr>
      </w:pPr>
      <w:r w:rsidRPr="008627D9">
        <w:rPr>
          <w:rFonts w:ascii="Arial" w:hAnsi="Arial" w:cs="Arial"/>
          <w:b/>
          <w:bCs/>
          <w:sz w:val="28"/>
          <w:szCs w:val="28"/>
        </w:rPr>
        <w:t xml:space="preserve">Northwestern University, McCormick School of Engineering </w:t>
      </w:r>
    </w:p>
    <w:p w14:paraId="041943FA" w14:textId="23F1B31B" w:rsidR="00751D04" w:rsidRPr="00EA71B8" w:rsidRDefault="008627D9" w:rsidP="00751D04">
      <w:pPr>
        <w:spacing w:after="0" w:line="240" w:lineRule="auto"/>
        <w:jc w:val="center"/>
        <w:rPr>
          <w:rFonts w:ascii="Arial" w:hAnsi="Arial" w:cs="Arial"/>
          <w:b/>
          <w:bCs/>
          <w:sz w:val="28"/>
          <w:szCs w:val="28"/>
        </w:rPr>
      </w:pPr>
      <w:r w:rsidRPr="008627D9">
        <w:rPr>
          <w:rFonts w:ascii="Arial" w:hAnsi="Arial" w:cs="Arial"/>
          <w:b/>
          <w:bCs/>
          <w:sz w:val="28"/>
          <w:szCs w:val="28"/>
        </w:rPr>
        <w:t>12-month Events Rider</w:t>
      </w:r>
    </w:p>
    <w:p w14:paraId="48EB7D04" w14:textId="1A02817C" w:rsidR="00751D04" w:rsidRPr="00751D04" w:rsidRDefault="00751D04" w:rsidP="00751D04">
      <w:pPr>
        <w:spacing w:after="0" w:line="240" w:lineRule="auto"/>
        <w:rPr>
          <w:rFonts w:ascii="Arial" w:hAnsi="Arial" w:cs="Arial"/>
          <w:sz w:val="20"/>
          <w:szCs w:val="20"/>
        </w:rPr>
      </w:pPr>
    </w:p>
    <w:p w14:paraId="4CAE2141" w14:textId="10D59952" w:rsidR="00751D04" w:rsidRDefault="008627D9" w:rsidP="00751D04">
      <w:pPr>
        <w:spacing w:after="0" w:line="240" w:lineRule="auto"/>
        <w:jc w:val="both"/>
        <w:rPr>
          <w:rFonts w:ascii="Arial" w:hAnsi="Arial" w:cs="Arial"/>
          <w:sz w:val="20"/>
          <w:szCs w:val="20"/>
        </w:rPr>
      </w:pPr>
      <w:r w:rsidRPr="008627D9">
        <w:rPr>
          <w:rFonts w:ascii="Arial" w:hAnsi="Arial" w:cs="Arial"/>
          <w:sz w:val="20"/>
          <w:szCs w:val="20"/>
        </w:rPr>
        <w:t xml:space="preserve">Notwithstanding anything to the contrary in the agreement (the “Agreement”) between Northwestern University, McCormick School of Engineering (“Northwestern”) and </w:t>
      </w:r>
      <w:r w:rsidRPr="008627D9">
        <w:rPr>
          <w:rFonts w:ascii="Arial" w:hAnsi="Arial" w:cs="Arial"/>
          <w:sz w:val="20"/>
          <w:szCs w:val="20"/>
          <w:highlight w:val="yellow"/>
        </w:rPr>
        <w:t>[Insert Name of Vendor in Agreement]</w:t>
      </w:r>
      <w:r w:rsidRPr="008627D9">
        <w:rPr>
          <w:rFonts w:ascii="Arial" w:hAnsi="Arial" w:cs="Arial"/>
          <w:sz w:val="20"/>
          <w:szCs w:val="20"/>
        </w:rPr>
        <w:t xml:space="preserve"> (“Vendor”), Northwestern and Vendor hereby agree to the following terms of this rider (this “Rider”) in connection with event(s) described in the Agreement (“the Event”) until _________________________, 202_ (“term”) described in the Agreement (the “Event”):</w:t>
      </w:r>
    </w:p>
    <w:p w14:paraId="6D6791BD" w14:textId="77777777" w:rsidR="008627D9" w:rsidRDefault="008627D9" w:rsidP="00751D04">
      <w:pPr>
        <w:spacing w:after="0" w:line="240" w:lineRule="auto"/>
        <w:jc w:val="both"/>
        <w:rPr>
          <w:rFonts w:ascii="Arial" w:hAnsi="Arial" w:cs="Arial"/>
          <w:sz w:val="20"/>
          <w:szCs w:val="20"/>
        </w:rPr>
      </w:pPr>
    </w:p>
    <w:p w14:paraId="4CAAE266" w14:textId="2190D98F" w:rsidR="00CD48CE" w:rsidRDefault="008C4B3F" w:rsidP="00751D04">
      <w:pPr>
        <w:spacing w:after="0" w:line="240" w:lineRule="auto"/>
        <w:jc w:val="both"/>
        <w:rPr>
          <w:rFonts w:ascii="Arial" w:hAnsi="Arial" w:cs="Arial"/>
          <w:sz w:val="20"/>
          <w:szCs w:val="20"/>
        </w:rPr>
      </w:pPr>
      <w:r>
        <w:rPr>
          <w:rFonts w:ascii="Arial" w:hAnsi="Arial" w:cs="Arial"/>
          <w:b/>
          <w:bCs/>
          <w:sz w:val="20"/>
          <w:szCs w:val="20"/>
          <w:u w:val="single"/>
        </w:rPr>
        <w:t>Cancellation</w:t>
      </w:r>
      <w:r w:rsidR="00CD48CE">
        <w:rPr>
          <w:rFonts w:ascii="Arial" w:hAnsi="Arial" w:cs="Arial"/>
          <w:sz w:val="20"/>
          <w:szCs w:val="20"/>
        </w:rPr>
        <w:t xml:space="preserve">.  </w:t>
      </w:r>
      <w:r w:rsidR="00446C21" w:rsidRPr="00446C21">
        <w:rPr>
          <w:rFonts w:ascii="Arial" w:hAnsi="Arial" w:cs="Arial"/>
          <w:sz w:val="20"/>
          <w:szCs w:val="20"/>
        </w:rPr>
        <w:t xml:space="preserve">Northwestern may </w:t>
      </w:r>
      <w:r w:rsidR="00446C21">
        <w:rPr>
          <w:rFonts w:ascii="Arial" w:hAnsi="Arial" w:cs="Arial"/>
          <w:sz w:val="20"/>
          <w:szCs w:val="20"/>
        </w:rPr>
        <w:t xml:space="preserve">cancel the Event and </w:t>
      </w:r>
      <w:r w:rsidR="00446C21" w:rsidRPr="00446C21">
        <w:rPr>
          <w:rFonts w:ascii="Arial" w:hAnsi="Arial" w:cs="Arial"/>
          <w:sz w:val="20"/>
          <w:szCs w:val="20"/>
        </w:rPr>
        <w:t>terminate th</w:t>
      </w:r>
      <w:r w:rsidR="00446C21">
        <w:rPr>
          <w:rFonts w:ascii="Arial" w:hAnsi="Arial" w:cs="Arial"/>
          <w:sz w:val="20"/>
          <w:szCs w:val="20"/>
        </w:rPr>
        <w:t>e</w:t>
      </w:r>
      <w:r w:rsidR="00446C21" w:rsidRPr="00446C21">
        <w:rPr>
          <w:rFonts w:ascii="Arial" w:hAnsi="Arial" w:cs="Arial"/>
          <w:sz w:val="20"/>
          <w:szCs w:val="20"/>
        </w:rPr>
        <w:t xml:space="preserve"> Agreement, with or without cause, </w:t>
      </w:r>
      <w:r w:rsidR="00571F1E">
        <w:rPr>
          <w:rFonts w:ascii="Arial" w:hAnsi="Arial" w:cs="Arial"/>
          <w:sz w:val="20"/>
          <w:szCs w:val="20"/>
        </w:rPr>
        <w:t xml:space="preserve">and </w:t>
      </w:r>
      <w:r w:rsidR="00571F1E" w:rsidRPr="00571F1E">
        <w:rPr>
          <w:rFonts w:ascii="Arial" w:hAnsi="Arial" w:cs="Arial"/>
          <w:sz w:val="20"/>
          <w:szCs w:val="20"/>
        </w:rPr>
        <w:t>without any further liability or obligation</w:t>
      </w:r>
      <w:r w:rsidR="00571F1E">
        <w:rPr>
          <w:rFonts w:ascii="Arial" w:hAnsi="Arial" w:cs="Arial"/>
          <w:sz w:val="20"/>
          <w:szCs w:val="20"/>
        </w:rPr>
        <w:t xml:space="preserve"> to Vendor, </w:t>
      </w:r>
      <w:r w:rsidR="00446C21" w:rsidRPr="00446C21">
        <w:rPr>
          <w:rFonts w:ascii="Arial" w:hAnsi="Arial" w:cs="Arial"/>
          <w:sz w:val="20"/>
          <w:szCs w:val="20"/>
        </w:rPr>
        <w:t xml:space="preserve">upon thirty (30) days prior written notice to </w:t>
      </w:r>
      <w:r w:rsidR="002139A2">
        <w:rPr>
          <w:rFonts w:ascii="Arial" w:hAnsi="Arial" w:cs="Arial"/>
          <w:sz w:val="20"/>
          <w:szCs w:val="20"/>
        </w:rPr>
        <w:t>Vendor</w:t>
      </w:r>
      <w:r w:rsidR="00446C21" w:rsidRPr="00446C21">
        <w:rPr>
          <w:rFonts w:ascii="Arial" w:hAnsi="Arial" w:cs="Arial"/>
          <w:sz w:val="20"/>
          <w:szCs w:val="20"/>
        </w:rPr>
        <w:t>.</w:t>
      </w:r>
    </w:p>
    <w:p w14:paraId="54D6B3CF" w14:textId="77777777" w:rsidR="00FE23A5" w:rsidRPr="00751D04" w:rsidRDefault="00FE23A5" w:rsidP="00751D04">
      <w:pPr>
        <w:spacing w:after="0" w:line="240" w:lineRule="auto"/>
        <w:jc w:val="both"/>
        <w:rPr>
          <w:rFonts w:ascii="Arial" w:hAnsi="Arial" w:cs="Arial"/>
          <w:sz w:val="20"/>
          <w:szCs w:val="20"/>
        </w:rPr>
      </w:pPr>
    </w:p>
    <w:p w14:paraId="4F3E9E1E" w14:textId="3C76515F" w:rsidR="00751D04" w:rsidRPr="00751D04" w:rsidRDefault="00751D04" w:rsidP="00751D04">
      <w:pPr>
        <w:spacing w:after="0" w:line="240" w:lineRule="auto"/>
        <w:jc w:val="both"/>
        <w:rPr>
          <w:rFonts w:ascii="Arial" w:hAnsi="Arial" w:cs="Arial"/>
          <w:sz w:val="20"/>
          <w:szCs w:val="20"/>
        </w:rPr>
      </w:pPr>
      <w:r w:rsidRPr="00751D04">
        <w:rPr>
          <w:rFonts w:ascii="Arial" w:hAnsi="Arial" w:cs="Arial"/>
          <w:b/>
          <w:bCs/>
          <w:sz w:val="20"/>
          <w:szCs w:val="20"/>
          <w:u w:val="single"/>
        </w:rPr>
        <w:t>Indemnification</w:t>
      </w:r>
      <w:r w:rsidRPr="00751D04">
        <w:rPr>
          <w:rFonts w:ascii="Arial" w:hAnsi="Arial" w:cs="Arial"/>
          <w:sz w:val="20"/>
          <w:szCs w:val="20"/>
        </w:rPr>
        <w:t xml:space="preserve">. </w:t>
      </w:r>
      <w:r w:rsidR="00EE31CE" w:rsidRPr="00EE31CE">
        <w:rPr>
          <w:rFonts w:ascii="Arial" w:hAnsi="Arial" w:cs="Arial"/>
          <w:sz w:val="20"/>
          <w:szCs w:val="20"/>
        </w:rPr>
        <w:t>Vendor shall indemnify, defend, and hold harmless Northwestern, and its trustees, officers, agents, and employees from and against any and all claims, demands, suits, proceedings, damages, liabilities, losses, fines, costs and expenses (including reasonable attorneys’ and professionals’ fees and court costs), including each of the foregoing imposed by law (collectively, “</w:t>
      </w:r>
      <w:r w:rsidR="00EE31CE" w:rsidRPr="00EE31CE">
        <w:rPr>
          <w:rFonts w:ascii="Arial" w:hAnsi="Arial" w:cs="Arial"/>
          <w:b/>
          <w:sz w:val="20"/>
          <w:szCs w:val="20"/>
        </w:rPr>
        <w:t>Claims</w:t>
      </w:r>
      <w:r w:rsidR="00EE31CE" w:rsidRPr="00EE31CE">
        <w:rPr>
          <w:rFonts w:ascii="Arial" w:hAnsi="Arial" w:cs="Arial"/>
          <w:sz w:val="20"/>
          <w:szCs w:val="20"/>
        </w:rPr>
        <w:t xml:space="preserve">”), arising out of or relating to any damage to property, personal injury or death caused by any acts or omissions of Vendor or any of its Personnel </w:t>
      </w:r>
      <w:r w:rsidR="00902F3E">
        <w:rPr>
          <w:rFonts w:ascii="Arial" w:hAnsi="Arial" w:cs="Arial"/>
          <w:sz w:val="20"/>
          <w:szCs w:val="20"/>
        </w:rPr>
        <w:t xml:space="preserve">(as defined below) </w:t>
      </w:r>
      <w:r w:rsidR="00EE31CE">
        <w:rPr>
          <w:rFonts w:ascii="Arial" w:hAnsi="Arial" w:cs="Arial"/>
          <w:sz w:val="20"/>
          <w:szCs w:val="20"/>
        </w:rPr>
        <w:t>in connection with the Event</w:t>
      </w:r>
      <w:r w:rsidR="00157CC4">
        <w:rPr>
          <w:rFonts w:ascii="Arial" w:hAnsi="Arial" w:cs="Arial"/>
          <w:sz w:val="20"/>
          <w:szCs w:val="20"/>
        </w:rPr>
        <w:t xml:space="preserve"> or the services provided under the Agreement</w:t>
      </w:r>
      <w:r w:rsidR="00EE31CE" w:rsidRPr="00EE31CE">
        <w:rPr>
          <w:rFonts w:ascii="Arial" w:hAnsi="Arial" w:cs="Arial"/>
          <w:sz w:val="20"/>
          <w:szCs w:val="20"/>
        </w:rPr>
        <w:t xml:space="preserve">; </w:t>
      </w:r>
      <w:r w:rsidR="00EE31CE" w:rsidRPr="00EE31CE">
        <w:rPr>
          <w:rFonts w:ascii="Arial" w:hAnsi="Arial" w:cs="Arial"/>
          <w:sz w:val="20"/>
          <w:szCs w:val="20"/>
          <w:u w:val="single"/>
        </w:rPr>
        <w:t>provided</w:t>
      </w:r>
      <w:r w:rsidR="00EE31CE" w:rsidRPr="00EE31CE">
        <w:rPr>
          <w:rFonts w:ascii="Arial" w:hAnsi="Arial" w:cs="Arial"/>
          <w:sz w:val="20"/>
          <w:szCs w:val="20"/>
        </w:rPr>
        <w:t xml:space="preserve">, </w:t>
      </w:r>
      <w:r w:rsidR="00EE31CE" w:rsidRPr="00EE31CE">
        <w:rPr>
          <w:rFonts w:ascii="Arial" w:hAnsi="Arial" w:cs="Arial"/>
          <w:sz w:val="20"/>
          <w:szCs w:val="20"/>
          <w:u w:val="single"/>
        </w:rPr>
        <w:t>however</w:t>
      </w:r>
      <w:r w:rsidR="00EE31CE" w:rsidRPr="00EE31CE">
        <w:rPr>
          <w:rFonts w:ascii="Arial" w:hAnsi="Arial" w:cs="Arial"/>
          <w:sz w:val="20"/>
          <w:szCs w:val="20"/>
        </w:rPr>
        <w:t>, that nothing in this Section shall require Vendor to indemnify Northwestern against any Claim to the extent such Claim results from the negligence or willful misconduct of Northwestern.</w:t>
      </w:r>
    </w:p>
    <w:p w14:paraId="59981BD9" w14:textId="4FB1914F" w:rsidR="00751D04" w:rsidRPr="00751D04" w:rsidRDefault="00751D04" w:rsidP="00751D04">
      <w:pPr>
        <w:spacing w:after="0" w:line="240" w:lineRule="auto"/>
        <w:jc w:val="both"/>
        <w:rPr>
          <w:rFonts w:ascii="Arial" w:hAnsi="Arial" w:cs="Arial"/>
          <w:sz w:val="20"/>
          <w:szCs w:val="20"/>
        </w:rPr>
      </w:pPr>
    </w:p>
    <w:p w14:paraId="3B712C06" w14:textId="6A20694D" w:rsidR="00751D04" w:rsidRPr="00751D04" w:rsidRDefault="00751D04" w:rsidP="00751D04">
      <w:pPr>
        <w:spacing w:after="0" w:line="240" w:lineRule="auto"/>
        <w:jc w:val="both"/>
        <w:rPr>
          <w:rFonts w:ascii="Arial" w:hAnsi="Arial" w:cs="Arial"/>
          <w:sz w:val="20"/>
          <w:szCs w:val="20"/>
        </w:rPr>
      </w:pPr>
      <w:r w:rsidRPr="00751D04">
        <w:rPr>
          <w:rFonts w:ascii="Arial" w:hAnsi="Arial" w:cs="Arial"/>
          <w:b/>
          <w:bCs/>
          <w:sz w:val="20"/>
          <w:szCs w:val="20"/>
          <w:u w:val="single"/>
        </w:rPr>
        <w:t>Limitation of Liability</w:t>
      </w:r>
      <w:r w:rsidRPr="00751D04">
        <w:rPr>
          <w:rFonts w:ascii="Arial" w:hAnsi="Arial" w:cs="Arial"/>
          <w:sz w:val="20"/>
          <w:szCs w:val="20"/>
        </w:rPr>
        <w:t xml:space="preserve">.  EXCEPT AS SET FORTH IN THIS SECTION, IN NO EVENT SHALL EITHER PARTY BE LIABLE TO THE OTHER PARTY FOR ANY INDIRECT, INCIDENTAL, PUNITIVE, SPECIAL, OR CONSEQUENTIAL DAMAGES, OR DAMAGES FOR LOSS OF PROFITS OR REVENUE, WHETHER IN AN ACTION IN CONTRACT OR TORT, EVEN IF ADVISED OF THE POSSIBILITY OF SUCH DAMAGES.  THE LIMITATIONS OF LIABILITY IN THE AGREEMENT SHALL NOT APPLY TO: (a) VENDOR’S INDEMNIFICATION OBLIGATIONS UNDER THIS AGREEMENT OR ANY BREACH THEREOF; OR (b) A PARTY’S GROSS NEGLIGENCE, WILLFUL MISCONDUCT OR FRAUD, OR ANY OTHER LIABILITY THAT MAY NOT BE LIMITED OR EXCLUDED UNDER APPLICABLE LAW. </w:t>
      </w:r>
    </w:p>
    <w:p w14:paraId="7FB2B3FF" w14:textId="54C1F2AF" w:rsidR="00751D04" w:rsidRPr="00751D04" w:rsidRDefault="00751D04" w:rsidP="00751D04">
      <w:pPr>
        <w:spacing w:after="0" w:line="240" w:lineRule="auto"/>
        <w:jc w:val="both"/>
        <w:rPr>
          <w:rFonts w:ascii="Arial" w:hAnsi="Arial" w:cs="Arial"/>
          <w:sz w:val="20"/>
          <w:szCs w:val="20"/>
        </w:rPr>
      </w:pPr>
    </w:p>
    <w:p w14:paraId="05B04B54" w14:textId="282B226F" w:rsidR="00751D04" w:rsidRPr="00751D04" w:rsidRDefault="00E65C2F" w:rsidP="00751D04">
      <w:pPr>
        <w:spacing w:after="0" w:line="240" w:lineRule="auto"/>
        <w:jc w:val="both"/>
        <w:rPr>
          <w:rFonts w:ascii="Arial" w:hAnsi="Arial" w:cs="Arial"/>
          <w:sz w:val="20"/>
          <w:szCs w:val="20"/>
        </w:rPr>
      </w:pPr>
      <w:r>
        <w:rPr>
          <w:rFonts w:ascii="Arial" w:hAnsi="Arial" w:cs="Arial"/>
          <w:b/>
          <w:bCs/>
          <w:sz w:val="20"/>
          <w:szCs w:val="20"/>
          <w:u w:val="single"/>
        </w:rPr>
        <w:t>Insurance</w:t>
      </w:r>
      <w:r w:rsidR="001C610C">
        <w:rPr>
          <w:rFonts w:ascii="Arial" w:hAnsi="Arial" w:cs="Arial"/>
          <w:b/>
          <w:bCs/>
          <w:sz w:val="20"/>
          <w:szCs w:val="20"/>
          <w:u w:val="single"/>
        </w:rPr>
        <w:t xml:space="preserve"> Requirements</w:t>
      </w:r>
      <w:r w:rsidR="00751D04" w:rsidRPr="00751D04">
        <w:rPr>
          <w:rFonts w:ascii="Arial" w:hAnsi="Arial" w:cs="Arial"/>
          <w:sz w:val="20"/>
          <w:szCs w:val="20"/>
        </w:rPr>
        <w:t>.</w:t>
      </w:r>
      <w:r w:rsidR="001C610C">
        <w:rPr>
          <w:rFonts w:ascii="Arial" w:hAnsi="Arial" w:cs="Arial"/>
          <w:sz w:val="20"/>
          <w:szCs w:val="20"/>
        </w:rPr>
        <w:t xml:space="preserve">  </w:t>
      </w:r>
      <w:r w:rsidR="001C610C" w:rsidRPr="001C610C">
        <w:rPr>
          <w:rFonts w:ascii="Arial" w:hAnsi="Arial" w:cs="Arial"/>
          <w:sz w:val="20"/>
          <w:szCs w:val="20"/>
        </w:rPr>
        <w:t>Prior to rendering any services under the Agreement, Vendor shall procure and maintain (at its sole expense) the following insurance: (a) comprehensive general liability and professional liability covering bodily injury (including death), personal injury, property damage and the allegation of professional malfeasance in the arrangement of insurance coverage pursuant to this Agreement in an amount not less than $</w:t>
      </w:r>
      <w:r w:rsidR="006327EB">
        <w:rPr>
          <w:rFonts w:ascii="Arial" w:hAnsi="Arial" w:cs="Arial"/>
          <w:sz w:val="20"/>
          <w:szCs w:val="20"/>
        </w:rPr>
        <w:t>3</w:t>
      </w:r>
      <w:r w:rsidR="001C610C" w:rsidRPr="001C610C">
        <w:rPr>
          <w:rFonts w:ascii="Arial" w:hAnsi="Arial" w:cs="Arial"/>
          <w:sz w:val="20"/>
          <w:szCs w:val="20"/>
        </w:rPr>
        <w:t xml:space="preserve"> million per each occurrence; (b) automobile liability in an amount not less than $1 million combined single limit; (c) statutory workers’ compensation insurance, (d) employer’s liability in an amount of not less than $500,000</w:t>
      </w:r>
      <w:r w:rsidR="004D781F">
        <w:rPr>
          <w:rFonts w:ascii="Arial" w:hAnsi="Arial" w:cs="Arial"/>
          <w:sz w:val="20"/>
          <w:szCs w:val="20"/>
        </w:rPr>
        <w:t xml:space="preserve">, and (e) </w:t>
      </w:r>
      <w:r w:rsidR="00CC5F47">
        <w:rPr>
          <w:rFonts w:ascii="Arial" w:hAnsi="Arial" w:cs="Arial"/>
          <w:sz w:val="20"/>
          <w:szCs w:val="20"/>
        </w:rPr>
        <w:t xml:space="preserve">to the extent alcohol will be served at the Event, </w:t>
      </w:r>
      <w:r w:rsidR="000C1948" w:rsidRPr="000C1948">
        <w:rPr>
          <w:rFonts w:ascii="Arial" w:hAnsi="Arial" w:cs="Arial"/>
          <w:bCs/>
          <w:sz w:val="20"/>
          <w:szCs w:val="20"/>
        </w:rPr>
        <w:t xml:space="preserve">liquor liability or dram shop </w:t>
      </w:r>
      <w:r w:rsidR="000C1948">
        <w:rPr>
          <w:rFonts w:ascii="Arial" w:hAnsi="Arial" w:cs="Arial"/>
          <w:bCs/>
          <w:sz w:val="20"/>
          <w:szCs w:val="20"/>
        </w:rPr>
        <w:t xml:space="preserve">insurance </w:t>
      </w:r>
      <w:r w:rsidR="00CC5F47" w:rsidRPr="00CC5F47">
        <w:rPr>
          <w:rFonts w:ascii="Arial" w:hAnsi="Arial" w:cs="Arial"/>
          <w:bCs/>
          <w:sz w:val="20"/>
          <w:szCs w:val="20"/>
        </w:rPr>
        <w:t xml:space="preserve">in an amount of not less than </w:t>
      </w:r>
      <w:r w:rsidR="00CC5F47" w:rsidRPr="00CC5F47">
        <w:rPr>
          <w:rFonts w:ascii="Arial" w:hAnsi="Arial" w:cs="Arial"/>
          <w:sz w:val="20"/>
          <w:szCs w:val="20"/>
        </w:rPr>
        <w:t>$3 million</w:t>
      </w:r>
      <w:r w:rsidR="00CC5F47" w:rsidRPr="00CC5F47">
        <w:rPr>
          <w:rFonts w:ascii="Arial" w:hAnsi="Arial" w:cs="Arial"/>
          <w:bCs/>
          <w:sz w:val="20"/>
          <w:szCs w:val="20"/>
        </w:rPr>
        <w:t xml:space="preserve"> per each occurrence</w:t>
      </w:r>
      <w:r w:rsidR="001C610C" w:rsidRPr="001C610C">
        <w:rPr>
          <w:rFonts w:ascii="Arial" w:hAnsi="Arial" w:cs="Arial"/>
          <w:sz w:val="20"/>
          <w:szCs w:val="20"/>
        </w:rPr>
        <w:t>.  Vendor shall furnish Northwestern with a certificate of in</w:t>
      </w:r>
      <w:bookmarkStart w:id="0" w:name="_DV_X51"/>
      <w:bookmarkStart w:id="1" w:name="_DV_C50"/>
      <w:r w:rsidR="001C610C" w:rsidRPr="001C610C">
        <w:rPr>
          <w:rFonts w:ascii="Arial" w:hAnsi="Arial" w:cs="Arial"/>
          <w:sz w:val="20"/>
          <w:szCs w:val="20"/>
        </w:rPr>
        <w:t xml:space="preserve">surance </w:t>
      </w:r>
      <w:bookmarkStart w:id="2" w:name="_DV_M165"/>
      <w:bookmarkEnd w:id="0"/>
      <w:bookmarkEnd w:id="1"/>
      <w:bookmarkEnd w:id="2"/>
      <w:r w:rsidR="001C610C" w:rsidRPr="001C610C">
        <w:rPr>
          <w:rFonts w:ascii="Arial" w:hAnsi="Arial" w:cs="Arial"/>
          <w:sz w:val="20"/>
          <w:szCs w:val="20"/>
        </w:rPr>
        <w:t xml:space="preserve">outlining the coverages above.  Northwestern, and its affiliates, officers, directors, trustees, volunteers, and employees shall be named as additional insureds under all coverages with the exception of workers compensation and professional liability, if applicable. The additional insured coverage shall apply on a primary basis and any insurance carried by Northwestern will be excess only and will not contribute with Vendor’s insurance.  </w:t>
      </w:r>
      <w:bookmarkStart w:id="3" w:name="_DV_M157"/>
      <w:bookmarkEnd w:id="3"/>
      <w:r w:rsidR="001C610C" w:rsidRPr="001C610C">
        <w:rPr>
          <w:rFonts w:ascii="Arial" w:hAnsi="Arial" w:cs="Arial"/>
          <w:sz w:val="20"/>
          <w:szCs w:val="20"/>
        </w:rPr>
        <w:t>All policies shall waive rights of subrogation against Northwestern.  Insurance shall be placed with reputable insurers with a Best’s rating of A- or better.  The insurance limits required in this Section are to be considered as minimum requirements and shall in no way limit the liability of Vendor hereunder.</w:t>
      </w:r>
    </w:p>
    <w:p w14:paraId="7814E308" w14:textId="77777777" w:rsidR="00D91ADF" w:rsidRPr="00D91ADF" w:rsidRDefault="00D91ADF" w:rsidP="00751D04">
      <w:pPr>
        <w:spacing w:after="0" w:line="240" w:lineRule="auto"/>
        <w:jc w:val="both"/>
        <w:rPr>
          <w:rFonts w:ascii="Arial" w:hAnsi="Arial" w:cs="Arial"/>
          <w:sz w:val="20"/>
          <w:szCs w:val="20"/>
        </w:rPr>
      </w:pPr>
    </w:p>
    <w:p w14:paraId="7BBA7CB7" w14:textId="2B4DAEA3" w:rsidR="00751D04" w:rsidRDefault="00B467D8" w:rsidP="00751D04">
      <w:pPr>
        <w:spacing w:after="0" w:line="240" w:lineRule="auto"/>
        <w:jc w:val="both"/>
        <w:rPr>
          <w:rFonts w:ascii="Arial" w:hAnsi="Arial" w:cs="Arial"/>
          <w:sz w:val="20"/>
          <w:szCs w:val="20"/>
        </w:rPr>
      </w:pPr>
      <w:r w:rsidRPr="00B467D8">
        <w:rPr>
          <w:rFonts w:ascii="Arial" w:hAnsi="Arial" w:cs="Arial"/>
          <w:b/>
          <w:bCs/>
          <w:iCs/>
          <w:sz w:val="20"/>
          <w:szCs w:val="20"/>
          <w:u w:val="single"/>
        </w:rPr>
        <w:t>Alcohol Provision</w:t>
      </w:r>
      <w:r w:rsidRPr="00B467D8">
        <w:rPr>
          <w:rFonts w:ascii="Arial" w:hAnsi="Arial" w:cs="Arial"/>
          <w:i/>
          <w:sz w:val="20"/>
          <w:szCs w:val="20"/>
        </w:rPr>
        <w:t>.</w:t>
      </w:r>
      <w:r w:rsidRPr="00B467D8">
        <w:rPr>
          <w:rFonts w:ascii="Arial" w:hAnsi="Arial" w:cs="Arial"/>
          <w:sz w:val="20"/>
          <w:szCs w:val="20"/>
        </w:rPr>
        <w:t xml:space="preserve"> </w:t>
      </w:r>
      <w:r>
        <w:rPr>
          <w:rFonts w:ascii="Arial" w:hAnsi="Arial" w:cs="Arial"/>
          <w:sz w:val="20"/>
          <w:szCs w:val="20"/>
        </w:rPr>
        <w:t xml:space="preserve"> To the extent</w:t>
      </w:r>
      <w:r w:rsidRPr="00B467D8">
        <w:rPr>
          <w:rFonts w:ascii="Arial" w:hAnsi="Arial" w:cs="Arial"/>
          <w:sz w:val="20"/>
          <w:szCs w:val="20"/>
        </w:rPr>
        <w:t xml:space="preserve"> alcohol will be served</w:t>
      </w:r>
      <w:r>
        <w:rPr>
          <w:rFonts w:ascii="Arial" w:hAnsi="Arial" w:cs="Arial"/>
          <w:sz w:val="20"/>
          <w:szCs w:val="20"/>
        </w:rPr>
        <w:t xml:space="preserve"> at the Event</w:t>
      </w:r>
      <w:r w:rsidRPr="00B467D8">
        <w:rPr>
          <w:rFonts w:ascii="Arial" w:hAnsi="Arial" w:cs="Arial"/>
          <w:sz w:val="20"/>
          <w:szCs w:val="20"/>
        </w:rPr>
        <w:t>, the Vendor shall</w:t>
      </w:r>
      <w:r w:rsidR="00362AA9">
        <w:rPr>
          <w:rFonts w:ascii="Arial" w:hAnsi="Arial" w:cs="Arial"/>
          <w:sz w:val="20"/>
          <w:szCs w:val="20"/>
        </w:rPr>
        <w:t xml:space="preserve">, and shall cause its </w:t>
      </w:r>
      <w:r w:rsidR="00902F3E" w:rsidRPr="00902F3E">
        <w:rPr>
          <w:rFonts w:ascii="Arial" w:hAnsi="Arial" w:cs="Arial"/>
          <w:sz w:val="20"/>
          <w:szCs w:val="20"/>
        </w:rPr>
        <w:t>affiliates, employees, agents and subcontractors engaged to provide such services</w:t>
      </w:r>
      <w:r w:rsidR="00362AA9">
        <w:rPr>
          <w:rFonts w:ascii="Arial" w:hAnsi="Arial" w:cs="Arial"/>
          <w:sz w:val="20"/>
          <w:szCs w:val="20"/>
        </w:rPr>
        <w:t xml:space="preserve"> </w:t>
      </w:r>
      <w:r w:rsidR="004C2B75">
        <w:rPr>
          <w:rFonts w:ascii="Arial" w:hAnsi="Arial" w:cs="Arial"/>
          <w:sz w:val="20"/>
          <w:szCs w:val="20"/>
        </w:rPr>
        <w:t>in connection with the Event (collectively, “</w:t>
      </w:r>
      <w:r w:rsidR="004C2B75" w:rsidRPr="004C2B75">
        <w:rPr>
          <w:rFonts w:ascii="Arial" w:hAnsi="Arial" w:cs="Arial"/>
          <w:b/>
          <w:bCs/>
          <w:sz w:val="20"/>
          <w:szCs w:val="20"/>
        </w:rPr>
        <w:t>Personnel</w:t>
      </w:r>
      <w:r w:rsidR="004C2B75">
        <w:rPr>
          <w:rFonts w:ascii="Arial" w:hAnsi="Arial" w:cs="Arial"/>
          <w:sz w:val="20"/>
          <w:szCs w:val="20"/>
        </w:rPr>
        <w:t xml:space="preserve">”) </w:t>
      </w:r>
      <w:r w:rsidR="00362AA9">
        <w:rPr>
          <w:rFonts w:ascii="Arial" w:hAnsi="Arial" w:cs="Arial"/>
          <w:sz w:val="20"/>
          <w:szCs w:val="20"/>
        </w:rPr>
        <w:t>to</w:t>
      </w:r>
      <w:r w:rsidRPr="00B467D8">
        <w:rPr>
          <w:rFonts w:ascii="Arial" w:hAnsi="Arial" w:cs="Arial"/>
          <w:sz w:val="20"/>
          <w:szCs w:val="20"/>
        </w:rPr>
        <w:t>:</w:t>
      </w:r>
      <w:r w:rsidR="00106946">
        <w:rPr>
          <w:rFonts w:ascii="Arial" w:hAnsi="Arial" w:cs="Arial"/>
          <w:sz w:val="20"/>
          <w:szCs w:val="20"/>
        </w:rPr>
        <w:t xml:space="preserve"> </w:t>
      </w:r>
      <w:r w:rsidRPr="00B467D8">
        <w:rPr>
          <w:rFonts w:ascii="Arial" w:hAnsi="Arial" w:cs="Arial"/>
          <w:sz w:val="20"/>
          <w:szCs w:val="20"/>
        </w:rPr>
        <w:t xml:space="preserve"> (a) provide all security and bar staff for the Event; (b) check the identification of all Event guests / participants who request or purchase alcohol; (c) ensure that alcohol is not served to Event guests / participants under age 21; </w:t>
      </w:r>
      <w:r w:rsidR="00106946">
        <w:rPr>
          <w:rFonts w:ascii="Arial" w:hAnsi="Arial" w:cs="Arial"/>
          <w:sz w:val="20"/>
          <w:szCs w:val="20"/>
        </w:rPr>
        <w:t xml:space="preserve">and </w:t>
      </w:r>
      <w:r w:rsidRPr="00B467D8">
        <w:rPr>
          <w:rFonts w:ascii="Arial" w:hAnsi="Arial" w:cs="Arial"/>
          <w:sz w:val="20"/>
          <w:szCs w:val="20"/>
        </w:rPr>
        <w:t>(d) make food available throughout the duration of the Event (soda/snack machines alone are not acceptable).</w:t>
      </w:r>
    </w:p>
    <w:p w14:paraId="4966BC12" w14:textId="0549DF20" w:rsidR="00106946" w:rsidRDefault="00106946" w:rsidP="00751D04">
      <w:pPr>
        <w:spacing w:after="0" w:line="240" w:lineRule="auto"/>
        <w:jc w:val="both"/>
        <w:rPr>
          <w:rFonts w:ascii="Arial" w:hAnsi="Arial" w:cs="Arial"/>
          <w:sz w:val="20"/>
          <w:szCs w:val="20"/>
        </w:rPr>
      </w:pPr>
    </w:p>
    <w:p w14:paraId="7E018744" w14:textId="3C2E947F" w:rsidR="00106946" w:rsidRPr="00B467D8" w:rsidRDefault="009C36B0" w:rsidP="00751D04">
      <w:pPr>
        <w:spacing w:after="0" w:line="240" w:lineRule="auto"/>
        <w:jc w:val="both"/>
        <w:rPr>
          <w:rFonts w:ascii="Arial" w:hAnsi="Arial" w:cs="Arial"/>
          <w:sz w:val="20"/>
          <w:szCs w:val="20"/>
        </w:rPr>
      </w:pPr>
      <w:r w:rsidRPr="009C36B0">
        <w:rPr>
          <w:rFonts w:ascii="Arial" w:hAnsi="Arial" w:cs="Arial"/>
          <w:b/>
          <w:bCs/>
          <w:sz w:val="20"/>
          <w:szCs w:val="20"/>
          <w:u w:val="single"/>
        </w:rPr>
        <w:lastRenderedPageBreak/>
        <w:t>Students</w:t>
      </w:r>
      <w:r>
        <w:rPr>
          <w:rFonts w:ascii="Arial" w:hAnsi="Arial" w:cs="Arial"/>
          <w:sz w:val="20"/>
          <w:szCs w:val="20"/>
        </w:rPr>
        <w:t xml:space="preserve">.  To the extent </w:t>
      </w:r>
      <w:r w:rsidRPr="009C36B0">
        <w:rPr>
          <w:rFonts w:ascii="Arial" w:hAnsi="Arial" w:cs="Arial"/>
          <w:sz w:val="20"/>
          <w:szCs w:val="20"/>
        </w:rPr>
        <w:t xml:space="preserve">any Northwestern students will be in attendance at </w:t>
      </w:r>
      <w:r>
        <w:rPr>
          <w:rFonts w:ascii="Arial" w:hAnsi="Arial" w:cs="Arial"/>
          <w:sz w:val="20"/>
          <w:szCs w:val="20"/>
        </w:rPr>
        <w:t>the</w:t>
      </w:r>
      <w:r w:rsidRPr="009C36B0">
        <w:rPr>
          <w:rFonts w:ascii="Arial" w:hAnsi="Arial" w:cs="Arial"/>
          <w:sz w:val="20"/>
          <w:szCs w:val="20"/>
        </w:rPr>
        <w:t xml:space="preserve"> Event, Vendor must ensure</w:t>
      </w:r>
      <w:r w:rsidR="00C84134">
        <w:rPr>
          <w:rFonts w:ascii="Arial" w:hAnsi="Arial" w:cs="Arial"/>
          <w:sz w:val="20"/>
          <w:szCs w:val="20"/>
        </w:rPr>
        <w:t xml:space="preserve"> </w:t>
      </w:r>
      <w:r w:rsidRPr="009C36B0">
        <w:rPr>
          <w:rFonts w:ascii="Arial" w:hAnsi="Arial" w:cs="Arial"/>
          <w:sz w:val="20"/>
          <w:szCs w:val="20"/>
        </w:rPr>
        <w:t xml:space="preserve">that: </w:t>
      </w:r>
      <w:r>
        <w:rPr>
          <w:rFonts w:ascii="Arial" w:hAnsi="Arial" w:cs="Arial"/>
          <w:sz w:val="20"/>
          <w:szCs w:val="20"/>
        </w:rPr>
        <w:t xml:space="preserve"> </w:t>
      </w:r>
      <w:r w:rsidRPr="009C36B0">
        <w:rPr>
          <w:rFonts w:ascii="Arial" w:hAnsi="Arial" w:cs="Arial"/>
          <w:sz w:val="20"/>
          <w:szCs w:val="20"/>
        </w:rPr>
        <w:t>(a) non-alcoholic beverages are provided to students at a cost of $1 or less at each cash bar or partially subsidized Event; (b) non-alcoholic beverages are provided to students free of charge at each open bar Event; and (c) the Event lasts no longer than 5 hours and individuals are not over-served for any Event where alcohol will be served.</w:t>
      </w:r>
    </w:p>
    <w:p w14:paraId="3C4F7815" w14:textId="11F2A3D9" w:rsidR="00751D04" w:rsidRPr="00751D04" w:rsidRDefault="00751D04" w:rsidP="00751D04">
      <w:pPr>
        <w:spacing w:after="0" w:line="240" w:lineRule="auto"/>
        <w:jc w:val="both"/>
        <w:rPr>
          <w:rFonts w:ascii="Arial" w:hAnsi="Arial" w:cs="Arial"/>
          <w:sz w:val="20"/>
          <w:szCs w:val="20"/>
        </w:rPr>
      </w:pPr>
    </w:p>
    <w:p w14:paraId="4FBEA45B" w14:textId="7626E064" w:rsidR="00751D04" w:rsidRPr="00751D04" w:rsidRDefault="00751D04" w:rsidP="00751D04">
      <w:pPr>
        <w:spacing w:after="0" w:line="240" w:lineRule="auto"/>
        <w:jc w:val="both"/>
        <w:rPr>
          <w:rFonts w:ascii="Arial" w:hAnsi="Arial" w:cs="Arial"/>
          <w:sz w:val="20"/>
          <w:szCs w:val="20"/>
        </w:rPr>
      </w:pPr>
      <w:r w:rsidRPr="003B60BC">
        <w:rPr>
          <w:rFonts w:ascii="Arial" w:hAnsi="Arial" w:cs="Arial"/>
          <w:b/>
          <w:bCs/>
          <w:sz w:val="20"/>
          <w:szCs w:val="20"/>
          <w:u w:val="single"/>
        </w:rPr>
        <w:t>Governing Law</w:t>
      </w:r>
      <w:r w:rsidR="003B60BC" w:rsidRPr="003B60BC">
        <w:rPr>
          <w:rFonts w:ascii="Arial" w:hAnsi="Arial" w:cs="Arial"/>
          <w:b/>
          <w:bCs/>
          <w:sz w:val="20"/>
          <w:szCs w:val="20"/>
          <w:u w:val="single"/>
        </w:rPr>
        <w:t>; Dispute Resolution</w:t>
      </w:r>
      <w:r w:rsidRPr="00751D04">
        <w:rPr>
          <w:rFonts w:ascii="Arial" w:hAnsi="Arial" w:cs="Arial"/>
          <w:sz w:val="20"/>
          <w:szCs w:val="20"/>
        </w:rPr>
        <w:t>.  The Agreement, including this Rider, shall be governed by and construed and enforced in accordance with the laws of the State of Illinois, excluding its choice of law rules.  The Parties expressly agree that the UN Convention on the International Sale of Goods shall not apply to this Agreement.  All disputes relating to the Agreement, including this Addendum, not resolved between the parties shall be resolved by binding arbitration administered exclusively by the International Institute for Conflict Prevention &amp; Resolution in accordance with its arbitration rules. The place of arbitration shall exclusively be Chicago, Illinois.</w:t>
      </w:r>
    </w:p>
    <w:p w14:paraId="5FB41205" w14:textId="4C7B5869" w:rsidR="00751D04" w:rsidRPr="00751D04" w:rsidRDefault="00751D04" w:rsidP="00751D04">
      <w:pPr>
        <w:spacing w:after="0" w:line="240" w:lineRule="auto"/>
        <w:jc w:val="both"/>
        <w:rPr>
          <w:rFonts w:ascii="Arial" w:hAnsi="Arial" w:cs="Arial"/>
          <w:sz w:val="20"/>
          <w:szCs w:val="20"/>
        </w:rPr>
      </w:pPr>
    </w:p>
    <w:p w14:paraId="1A24374A" w14:textId="7B9022A7" w:rsidR="00751D04" w:rsidRPr="00751D04" w:rsidRDefault="00751D04" w:rsidP="00751D04">
      <w:pPr>
        <w:spacing w:after="0" w:line="240" w:lineRule="auto"/>
        <w:jc w:val="both"/>
        <w:rPr>
          <w:rFonts w:ascii="Arial" w:hAnsi="Arial" w:cs="Arial"/>
          <w:sz w:val="20"/>
          <w:szCs w:val="20"/>
        </w:rPr>
      </w:pPr>
      <w:r w:rsidRPr="003B60BC">
        <w:rPr>
          <w:rFonts w:ascii="Arial" w:hAnsi="Arial" w:cs="Arial"/>
          <w:b/>
          <w:bCs/>
          <w:sz w:val="20"/>
          <w:szCs w:val="20"/>
          <w:u w:val="single"/>
        </w:rPr>
        <w:t>Tax Exempt</w:t>
      </w:r>
      <w:r w:rsidRPr="00751D04">
        <w:rPr>
          <w:rFonts w:ascii="Arial" w:hAnsi="Arial" w:cs="Arial"/>
          <w:sz w:val="20"/>
          <w:szCs w:val="20"/>
        </w:rPr>
        <w:t xml:space="preserve">.  </w:t>
      </w:r>
      <w:r w:rsidR="00690FBF">
        <w:rPr>
          <w:rFonts w:ascii="Arial" w:hAnsi="Arial" w:cs="Arial"/>
          <w:sz w:val="20"/>
          <w:szCs w:val="20"/>
        </w:rPr>
        <w:t>Vendor</w:t>
      </w:r>
      <w:r w:rsidRPr="00751D04">
        <w:rPr>
          <w:rFonts w:ascii="Arial" w:hAnsi="Arial" w:cs="Arial"/>
          <w:sz w:val="20"/>
          <w:szCs w:val="20"/>
        </w:rPr>
        <w:t xml:space="preserve"> acknowledges that Northwestern is a tax-exempt entity and will not be responsible for payment of taxes from which it is exempt at the time such taxes are levied or assessed.  Upon </w:t>
      </w:r>
      <w:r w:rsidR="00690FBF">
        <w:rPr>
          <w:rFonts w:ascii="Arial" w:hAnsi="Arial" w:cs="Arial"/>
          <w:sz w:val="20"/>
          <w:szCs w:val="20"/>
        </w:rPr>
        <w:t>Vendor</w:t>
      </w:r>
      <w:r w:rsidRPr="00751D04">
        <w:rPr>
          <w:rFonts w:ascii="Arial" w:hAnsi="Arial" w:cs="Arial"/>
          <w:sz w:val="20"/>
          <w:szCs w:val="20"/>
        </w:rPr>
        <w:t xml:space="preserve">’s request, Northwestern will provide </w:t>
      </w:r>
      <w:r w:rsidR="00690FBF">
        <w:rPr>
          <w:rFonts w:ascii="Arial" w:hAnsi="Arial" w:cs="Arial"/>
          <w:sz w:val="20"/>
          <w:szCs w:val="20"/>
        </w:rPr>
        <w:t>Vendor</w:t>
      </w:r>
      <w:r w:rsidRPr="00751D04">
        <w:rPr>
          <w:rFonts w:ascii="Arial" w:hAnsi="Arial" w:cs="Arial"/>
          <w:sz w:val="20"/>
          <w:szCs w:val="20"/>
        </w:rPr>
        <w:t xml:space="preserve"> with a certificate of tax exemption.</w:t>
      </w:r>
    </w:p>
    <w:p w14:paraId="7A69D3D1" w14:textId="77777777" w:rsidR="00751D04" w:rsidRPr="00751D04" w:rsidRDefault="00751D04" w:rsidP="00751D04">
      <w:pPr>
        <w:spacing w:after="0" w:line="240" w:lineRule="auto"/>
        <w:jc w:val="both"/>
        <w:rPr>
          <w:rFonts w:ascii="Arial" w:hAnsi="Arial" w:cs="Arial"/>
          <w:sz w:val="20"/>
          <w:szCs w:val="20"/>
        </w:rPr>
      </w:pPr>
    </w:p>
    <w:p w14:paraId="48EFF322" w14:textId="77777777" w:rsidR="00751D04" w:rsidRPr="00751D04" w:rsidRDefault="00751D04" w:rsidP="00751D04">
      <w:pPr>
        <w:spacing w:after="0" w:line="240" w:lineRule="auto"/>
        <w:jc w:val="both"/>
        <w:rPr>
          <w:rFonts w:ascii="Arial" w:hAnsi="Arial" w:cs="Arial"/>
          <w:sz w:val="20"/>
          <w:szCs w:val="20"/>
        </w:rPr>
      </w:pPr>
      <w:r w:rsidRPr="003B60BC">
        <w:rPr>
          <w:rFonts w:ascii="Arial" w:hAnsi="Arial" w:cs="Arial"/>
          <w:b/>
          <w:bCs/>
          <w:sz w:val="20"/>
          <w:szCs w:val="20"/>
          <w:u w:val="single"/>
        </w:rPr>
        <w:t>Order of Precedence</w:t>
      </w:r>
      <w:r w:rsidRPr="00751D04">
        <w:rPr>
          <w:rFonts w:ascii="Arial" w:hAnsi="Arial" w:cs="Arial"/>
          <w:sz w:val="20"/>
          <w:szCs w:val="20"/>
        </w:rPr>
        <w:t xml:space="preserve">. This Rider shall be deemed a part of, and is hereby incorporated by reference into, the Agreement.  The Agreement, including this Rider, contains the entire agreement between the parties relating to the subject matter thereof and hereof, and supersedes all prior oral or written agreements and understandings between the parties.  In the event of any conflict between this Rider and the Agreement, the terms of this Rider shall control. </w:t>
      </w:r>
    </w:p>
    <w:p w14:paraId="384F4315" w14:textId="77777777" w:rsidR="00751D04" w:rsidRPr="00751D04" w:rsidRDefault="00751D04" w:rsidP="00751D04">
      <w:pPr>
        <w:spacing w:after="0" w:line="240" w:lineRule="auto"/>
        <w:jc w:val="both"/>
        <w:rPr>
          <w:rFonts w:ascii="Arial" w:hAnsi="Arial" w:cs="Arial"/>
          <w:sz w:val="20"/>
          <w:szCs w:val="20"/>
        </w:rPr>
      </w:pPr>
    </w:p>
    <w:p w14:paraId="53CD4D67" w14:textId="77777777" w:rsidR="00751D04" w:rsidRPr="00751D04" w:rsidRDefault="00751D04" w:rsidP="00751D04">
      <w:pPr>
        <w:spacing w:after="0" w:line="240" w:lineRule="auto"/>
        <w:jc w:val="both"/>
        <w:rPr>
          <w:rFonts w:ascii="Arial" w:hAnsi="Arial" w:cs="Arial"/>
          <w:sz w:val="20"/>
          <w:szCs w:val="20"/>
        </w:rPr>
      </w:pPr>
      <w:r w:rsidRPr="003B60BC">
        <w:rPr>
          <w:rFonts w:ascii="Arial" w:hAnsi="Arial" w:cs="Arial"/>
          <w:b/>
          <w:bCs/>
          <w:sz w:val="20"/>
          <w:szCs w:val="20"/>
          <w:u w:val="single"/>
        </w:rPr>
        <w:t>Counterparts</w:t>
      </w:r>
      <w:r w:rsidRPr="00751D04">
        <w:rPr>
          <w:rFonts w:ascii="Arial" w:hAnsi="Arial" w:cs="Arial"/>
          <w:sz w:val="20"/>
          <w:szCs w:val="20"/>
        </w:rPr>
        <w:t>.  This Rider may be executed and delivered in two or more counterparts, each of which will be considered an original, but all of which taken together will constitute one and the same instrument.  Exchange and delivery of executed counterparts to this Rider by facsimile or .pdf copies or other electronic means will constitute legally enforceable original documents.</w:t>
      </w:r>
    </w:p>
    <w:p w14:paraId="3A93C369" w14:textId="7657DBAA" w:rsidR="00751D04" w:rsidRPr="00751D04" w:rsidRDefault="00751D04" w:rsidP="00751D04">
      <w:pPr>
        <w:spacing w:after="0" w:line="240" w:lineRule="auto"/>
        <w:rPr>
          <w:rFonts w:ascii="Arial" w:hAnsi="Arial" w:cs="Arial"/>
          <w:sz w:val="20"/>
          <w:szCs w:val="20"/>
        </w:rPr>
      </w:pPr>
    </w:p>
    <w:p w14:paraId="51BC6318" w14:textId="6A368E02" w:rsidR="00751D04" w:rsidRDefault="00751D04" w:rsidP="00751D04">
      <w:pPr>
        <w:spacing w:after="0" w:line="240" w:lineRule="auto"/>
        <w:rPr>
          <w:rFonts w:ascii="Arial" w:hAnsi="Arial" w:cs="Arial"/>
          <w:sz w:val="20"/>
          <w:szCs w:val="20"/>
        </w:rPr>
      </w:pPr>
      <w:r w:rsidRPr="00751D04">
        <w:rPr>
          <w:rFonts w:ascii="Arial" w:hAnsi="Arial" w:cs="Arial"/>
          <w:sz w:val="20"/>
          <w:szCs w:val="20"/>
        </w:rPr>
        <w:t>AGREED TO AND ACCEPTED BY:</w:t>
      </w:r>
    </w:p>
    <w:p w14:paraId="49F2D1C5" w14:textId="77777777" w:rsidR="00EA71B8" w:rsidRPr="00751D04" w:rsidRDefault="00EA71B8" w:rsidP="00751D04">
      <w:pPr>
        <w:spacing w:after="0" w:line="240" w:lineRule="auto"/>
        <w:rPr>
          <w:rFonts w:ascii="Arial" w:hAnsi="Arial" w:cs="Arial"/>
          <w:sz w:val="20"/>
          <w:szCs w:val="20"/>
        </w:rPr>
      </w:pPr>
    </w:p>
    <w:tbl>
      <w:tblPr>
        <w:tblW w:w="9360" w:type="dxa"/>
        <w:tblLayout w:type="fixed"/>
        <w:tblCellMar>
          <w:left w:w="10" w:type="dxa"/>
          <w:right w:w="10" w:type="dxa"/>
        </w:tblCellMar>
        <w:tblLook w:val="04A0" w:firstRow="1" w:lastRow="0" w:firstColumn="1" w:lastColumn="0" w:noHBand="0" w:noVBand="1"/>
      </w:tblPr>
      <w:tblGrid>
        <w:gridCol w:w="4500"/>
        <w:gridCol w:w="450"/>
        <w:gridCol w:w="4410"/>
      </w:tblGrid>
      <w:tr w:rsidR="00EA71B8" w:rsidRPr="00EA71B8" w14:paraId="50901517" w14:textId="77777777" w:rsidTr="00ED44ED">
        <w:tc>
          <w:tcPr>
            <w:tcW w:w="4500" w:type="dxa"/>
          </w:tcPr>
          <w:p w14:paraId="6EAEFF4B" w14:textId="658CD168" w:rsidR="00EA71B8" w:rsidRPr="00EA71B8" w:rsidRDefault="00EA71B8" w:rsidP="00EA71B8">
            <w:pPr>
              <w:spacing w:after="0" w:line="240" w:lineRule="auto"/>
              <w:rPr>
                <w:rFonts w:ascii="Arial" w:hAnsi="Arial" w:cs="Arial"/>
              </w:rPr>
            </w:pPr>
            <w:r w:rsidRPr="00EA71B8">
              <w:rPr>
                <w:rFonts w:ascii="Arial" w:hAnsi="Arial" w:cs="Arial"/>
                <w:b/>
                <w:u w:val="single"/>
              </w:rPr>
              <w:t>Northwestern University</w:t>
            </w:r>
          </w:p>
        </w:tc>
        <w:tc>
          <w:tcPr>
            <w:tcW w:w="450" w:type="dxa"/>
          </w:tcPr>
          <w:p w14:paraId="4A84CB2B" w14:textId="77777777" w:rsidR="00EA71B8" w:rsidRPr="00EA71B8" w:rsidRDefault="00EA71B8" w:rsidP="00EA71B8">
            <w:pPr>
              <w:spacing w:after="0" w:line="240" w:lineRule="auto"/>
              <w:rPr>
                <w:rFonts w:ascii="Arial" w:hAnsi="Arial" w:cs="Arial"/>
              </w:rPr>
            </w:pPr>
          </w:p>
        </w:tc>
        <w:tc>
          <w:tcPr>
            <w:tcW w:w="4410" w:type="dxa"/>
          </w:tcPr>
          <w:p w14:paraId="63731240" w14:textId="5CFB439C" w:rsidR="00EA71B8" w:rsidRPr="00EA71B8" w:rsidRDefault="00EA71B8" w:rsidP="00EA71B8">
            <w:pPr>
              <w:spacing w:after="0" w:line="240" w:lineRule="auto"/>
              <w:rPr>
                <w:rFonts w:ascii="Arial" w:hAnsi="Arial" w:cs="Arial"/>
              </w:rPr>
            </w:pPr>
            <w:r w:rsidRPr="00EA71B8">
              <w:rPr>
                <w:rFonts w:ascii="Arial" w:hAnsi="Arial" w:cs="Arial"/>
                <w:b/>
                <w:u w:val="single"/>
              </w:rPr>
              <w:t>Vendor</w:t>
            </w:r>
          </w:p>
        </w:tc>
      </w:tr>
      <w:tr w:rsidR="00EA71B8" w:rsidRPr="00EA71B8" w14:paraId="35B2FFD3" w14:textId="77777777" w:rsidTr="00ED44ED">
        <w:tc>
          <w:tcPr>
            <w:tcW w:w="4500" w:type="dxa"/>
            <w:tcBorders>
              <w:bottom w:val="single" w:sz="4" w:space="0" w:color="auto"/>
            </w:tcBorders>
          </w:tcPr>
          <w:p w14:paraId="09F1AB71" w14:textId="77777777" w:rsidR="00EA71B8" w:rsidRPr="00EA71B8" w:rsidRDefault="00EA71B8" w:rsidP="00031D5C">
            <w:pPr>
              <w:spacing w:after="240" w:line="240" w:lineRule="auto"/>
              <w:rPr>
                <w:rFonts w:ascii="Arial" w:hAnsi="Arial" w:cs="Arial"/>
              </w:rPr>
            </w:pPr>
          </w:p>
        </w:tc>
        <w:tc>
          <w:tcPr>
            <w:tcW w:w="450" w:type="dxa"/>
          </w:tcPr>
          <w:p w14:paraId="174ABF82" w14:textId="77777777" w:rsidR="00EA71B8" w:rsidRPr="00EA71B8" w:rsidRDefault="00EA71B8" w:rsidP="00031D5C">
            <w:pPr>
              <w:spacing w:after="240" w:line="240" w:lineRule="auto"/>
              <w:rPr>
                <w:rFonts w:ascii="Arial" w:hAnsi="Arial" w:cs="Arial"/>
              </w:rPr>
            </w:pPr>
          </w:p>
        </w:tc>
        <w:tc>
          <w:tcPr>
            <w:tcW w:w="4410" w:type="dxa"/>
            <w:tcBorders>
              <w:bottom w:val="single" w:sz="4" w:space="0" w:color="auto"/>
            </w:tcBorders>
          </w:tcPr>
          <w:p w14:paraId="29A18D35" w14:textId="77777777" w:rsidR="00EA71B8" w:rsidRPr="00EA71B8" w:rsidRDefault="00EA71B8" w:rsidP="00031D5C">
            <w:pPr>
              <w:spacing w:after="240" w:line="240" w:lineRule="auto"/>
              <w:rPr>
                <w:rFonts w:ascii="Arial" w:hAnsi="Arial" w:cs="Arial"/>
              </w:rPr>
            </w:pPr>
          </w:p>
        </w:tc>
      </w:tr>
      <w:tr w:rsidR="00EA71B8" w:rsidRPr="00EA71B8" w14:paraId="53505A42" w14:textId="77777777" w:rsidTr="00ED44ED">
        <w:tc>
          <w:tcPr>
            <w:tcW w:w="4500" w:type="dxa"/>
            <w:tcBorders>
              <w:top w:val="single" w:sz="4" w:space="0" w:color="auto"/>
            </w:tcBorders>
            <w:hideMark/>
          </w:tcPr>
          <w:p w14:paraId="2F0D05C3" w14:textId="7A6B11D5" w:rsidR="00EA71B8" w:rsidRPr="00EA71B8" w:rsidRDefault="00EA71B8" w:rsidP="00EA71B8">
            <w:pPr>
              <w:spacing w:after="240" w:line="240" w:lineRule="auto"/>
              <w:rPr>
                <w:rFonts w:ascii="Arial" w:hAnsi="Arial" w:cs="Arial"/>
              </w:rPr>
            </w:pPr>
            <w:r w:rsidRPr="00EA71B8">
              <w:rPr>
                <w:rFonts w:ascii="Arial" w:hAnsi="Arial" w:cs="Arial"/>
              </w:rPr>
              <w:t>Signature</w:t>
            </w:r>
          </w:p>
        </w:tc>
        <w:tc>
          <w:tcPr>
            <w:tcW w:w="450" w:type="dxa"/>
          </w:tcPr>
          <w:p w14:paraId="21A2E7F4" w14:textId="77777777" w:rsidR="00EA71B8" w:rsidRPr="00EA71B8" w:rsidRDefault="00EA71B8" w:rsidP="00EA71B8">
            <w:pPr>
              <w:spacing w:after="240" w:line="240" w:lineRule="auto"/>
              <w:rPr>
                <w:rFonts w:ascii="Arial" w:hAnsi="Arial" w:cs="Arial"/>
              </w:rPr>
            </w:pPr>
          </w:p>
        </w:tc>
        <w:tc>
          <w:tcPr>
            <w:tcW w:w="4410" w:type="dxa"/>
            <w:tcBorders>
              <w:top w:val="single" w:sz="4" w:space="0" w:color="auto"/>
              <w:left w:val="nil"/>
              <w:bottom w:val="single" w:sz="4" w:space="0" w:color="auto"/>
              <w:right w:val="nil"/>
            </w:tcBorders>
            <w:hideMark/>
          </w:tcPr>
          <w:p w14:paraId="01A93484" w14:textId="691A33A9" w:rsidR="00EA71B8" w:rsidRPr="00EA71B8" w:rsidRDefault="00EA71B8" w:rsidP="00EA71B8">
            <w:pPr>
              <w:spacing w:after="240" w:line="240" w:lineRule="auto"/>
              <w:rPr>
                <w:rFonts w:ascii="Arial" w:hAnsi="Arial" w:cs="Arial"/>
              </w:rPr>
            </w:pPr>
            <w:r w:rsidRPr="00EA71B8">
              <w:rPr>
                <w:rFonts w:ascii="Arial" w:hAnsi="Arial" w:cs="Arial"/>
              </w:rPr>
              <w:t>Signature</w:t>
            </w:r>
          </w:p>
        </w:tc>
      </w:tr>
      <w:tr w:rsidR="00EA71B8" w:rsidRPr="00EA71B8" w14:paraId="0ED2B651" w14:textId="77777777" w:rsidTr="00EA71B8">
        <w:tc>
          <w:tcPr>
            <w:tcW w:w="4500" w:type="dxa"/>
            <w:tcBorders>
              <w:top w:val="single" w:sz="4" w:space="0" w:color="auto"/>
              <w:left w:val="nil"/>
              <w:bottom w:val="single" w:sz="4" w:space="0" w:color="auto"/>
              <w:right w:val="nil"/>
            </w:tcBorders>
            <w:hideMark/>
          </w:tcPr>
          <w:p w14:paraId="4CA3798F" w14:textId="71F89933" w:rsidR="00EA71B8" w:rsidRPr="00EA71B8" w:rsidRDefault="00EA71B8" w:rsidP="00EA71B8">
            <w:pPr>
              <w:spacing w:after="240" w:line="240" w:lineRule="auto"/>
              <w:rPr>
                <w:rFonts w:ascii="Arial" w:hAnsi="Arial" w:cs="Arial"/>
              </w:rPr>
            </w:pPr>
            <w:r w:rsidRPr="00EA71B8">
              <w:rPr>
                <w:rFonts w:ascii="Arial" w:hAnsi="Arial" w:cs="Arial"/>
              </w:rPr>
              <w:t>Name</w:t>
            </w:r>
          </w:p>
        </w:tc>
        <w:tc>
          <w:tcPr>
            <w:tcW w:w="450" w:type="dxa"/>
          </w:tcPr>
          <w:p w14:paraId="367B3140" w14:textId="77777777" w:rsidR="00EA71B8" w:rsidRPr="00EA71B8" w:rsidRDefault="00EA71B8" w:rsidP="00EA71B8">
            <w:pPr>
              <w:spacing w:after="240" w:line="240" w:lineRule="auto"/>
              <w:rPr>
                <w:rFonts w:ascii="Arial" w:hAnsi="Arial" w:cs="Arial"/>
              </w:rPr>
            </w:pPr>
          </w:p>
        </w:tc>
        <w:tc>
          <w:tcPr>
            <w:tcW w:w="4410" w:type="dxa"/>
            <w:tcBorders>
              <w:top w:val="nil"/>
              <w:left w:val="nil"/>
              <w:bottom w:val="single" w:sz="4" w:space="0" w:color="auto"/>
              <w:right w:val="nil"/>
            </w:tcBorders>
            <w:hideMark/>
          </w:tcPr>
          <w:p w14:paraId="2F1D36F9" w14:textId="0D4E2E4D" w:rsidR="00EA71B8" w:rsidRPr="00EA71B8" w:rsidRDefault="00EA71B8" w:rsidP="00EA71B8">
            <w:pPr>
              <w:spacing w:after="240" w:line="240" w:lineRule="auto"/>
              <w:rPr>
                <w:rFonts w:ascii="Arial" w:hAnsi="Arial" w:cs="Arial"/>
              </w:rPr>
            </w:pPr>
            <w:r w:rsidRPr="00EA71B8">
              <w:rPr>
                <w:rFonts w:ascii="Arial" w:hAnsi="Arial" w:cs="Arial"/>
              </w:rPr>
              <w:t>Name</w:t>
            </w:r>
          </w:p>
        </w:tc>
      </w:tr>
      <w:tr w:rsidR="00EA71B8" w:rsidRPr="00EA71B8" w14:paraId="21B68030" w14:textId="77777777" w:rsidTr="00EA71B8">
        <w:tc>
          <w:tcPr>
            <w:tcW w:w="4500" w:type="dxa"/>
            <w:tcBorders>
              <w:top w:val="single" w:sz="4" w:space="0" w:color="auto"/>
              <w:left w:val="nil"/>
              <w:bottom w:val="single" w:sz="4" w:space="0" w:color="auto"/>
              <w:right w:val="nil"/>
            </w:tcBorders>
            <w:hideMark/>
          </w:tcPr>
          <w:p w14:paraId="44A8FC52" w14:textId="7E8C36F1" w:rsidR="00EA71B8" w:rsidRPr="00EA71B8" w:rsidRDefault="00EA71B8" w:rsidP="00EA71B8">
            <w:pPr>
              <w:spacing w:after="240" w:line="240" w:lineRule="auto"/>
              <w:rPr>
                <w:rFonts w:ascii="Arial" w:hAnsi="Arial" w:cs="Arial"/>
              </w:rPr>
            </w:pPr>
            <w:r w:rsidRPr="00EA71B8">
              <w:rPr>
                <w:rFonts w:ascii="Arial" w:hAnsi="Arial" w:cs="Arial"/>
              </w:rPr>
              <w:t>Title</w:t>
            </w:r>
          </w:p>
        </w:tc>
        <w:tc>
          <w:tcPr>
            <w:tcW w:w="450" w:type="dxa"/>
          </w:tcPr>
          <w:p w14:paraId="21E4A6CA" w14:textId="77777777" w:rsidR="00EA71B8" w:rsidRPr="00EA71B8" w:rsidRDefault="00EA71B8" w:rsidP="00EA71B8">
            <w:pPr>
              <w:spacing w:after="240" w:line="240" w:lineRule="auto"/>
              <w:rPr>
                <w:rFonts w:ascii="Arial" w:hAnsi="Arial" w:cs="Arial"/>
              </w:rPr>
            </w:pPr>
          </w:p>
        </w:tc>
        <w:tc>
          <w:tcPr>
            <w:tcW w:w="4410" w:type="dxa"/>
            <w:tcBorders>
              <w:top w:val="nil"/>
              <w:left w:val="nil"/>
              <w:bottom w:val="single" w:sz="4" w:space="0" w:color="auto"/>
              <w:right w:val="nil"/>
            </w:tcBorders>
            <w:hideMark/>
          </w:tcPr>
          <w:p w14:paraId="5BDF546B" w14:textId="068C28E3" w:rsidR="00EA71B8" w:rsidRPr="00EA71B8" w:rsidRDefault="00EA71B8" w:rsidP="00EA71B8">
            <w:pPr>
              <w:spacing w:after="240" w:line="240" w:lineRule="auto"/>
              <w:rPr>
                <w:rFonts w:ascii="Arial" w:hAnsi="Arial" w:cs="Arial"/>
              </w:rPr>
            </w:pPr>
            <w:r w:rsidRPr="00EA71B8">
              <w:rPr>
                <w:rFonts w:ascii="Arial" w:hAnsi="Arial" w:cs="Arial"/>
              </w:rPr>
              <w:t>Title</w:t>
            </w:r>
          </w:p>
        </w:tc>
      </w:tr>
      <w:tr w:rsidR="00EA71B8" w:rsidRPr="00EA71B8" w14:paraId="18F24C9E" w14:textId="77777777" w:rsidTr="00031D5C">
        <w:tc>
          <w:tcPr>
            <w:tcW w:w="4500" w:type="dxa"/>
            <w:tcBorders>
              <w:top w:val="nil"/>
              <w:left w:val="nil"/>
              <w:right w:val="nil"/>
            </w:tcBorders>
            <w:hideMark/>
          </w:tcPr>
          <w:p w14:paraId="716079D1" w14:textId="3FFC7F41" w:rsidR="00EA71B8" w:rsidRPr="00EA71B8" w:rsidRDefault="00EA71B8" w:rsidP="00293EE2">
            <w:pPr>
              <w:spacing w:after="0" w:line="240" w:lineRule="auto"/>
              <w:rPr>
                <w:rFonts w:ascii="Arial" w:hAnsi="Arial" w:cs="Arial"/>
              </w:rPr>
            </w:pPr>
            <w:r w:rsidRPr="00EA71B8">
              <w:rPr>
                <w:rFonts w:ascii="Arial" w:hAnsi="Arial" w:cs="Arial"/>
              </w:rPr>
              <w:t>Date</w:t>
            </w:r>
          </w:p>
        </w:tc>
        <w:tc>
          <w:tcPr>
            <w:tcW w:w="450" w:type="dxa"/>
          </w:tcPr>
          <w:p w14:paraId="1D2E329A" w14:textId="77777777" w:rsidR="00EA71B8" w:rsidRPr="00EA71B8" w:rsidRDefault="00EA71B8" w:rsidP="00293EE2">
            <w:pPr>
              <w:spacing w:after="0" w:line="240" w:lineRule="auto"/>
              <w:rPr>
                <w:rFonts w:ascii="Arial" w:hAnsi="Arial" w:cs="Arial"/>
              </w:rPr>
            </w:pPr>
          </w:p>
        </w:tc>
        <w:tc>
          <w:tcPr>
            <w:tcW w:w="4410" w:type="dxa"/>
            <w:tcBorders>
              <w:top w:val="nil"/>
              <w:left w:val="nil"/>
              <w:right w:val="nil"/>
            </w:tcBorders>
            <w:hideMark/>
          </w:tcPr>
          <w:p w14:paraId="1057F22C" w14:textId="5FAD54CF" w:rsidR="00EA71B8" w:rsidRPr="00EA71B8" w:rsidRDefault="00EA71B8" w:rsidP="00293EE2">
            <w:pPr>
              <w:spacing w:after="0" w:line="240" w:lineRule="auto"/>
              <w:rPr>
                <w:rFonts w:ascii="Arial" w:hAnsi="Arial" w:cs="Arial"/>
              </w:rPr>
            </w:pPr>
            <w:r w:rsidRPr="00EA71B8">
              <w:rPr>
                <w:rFonts w:ascii="Arial" w:hAnsi="Arial" w:cs="Arial"/>
              </w:rPr>
              <w:t>Date</w:t>
            </w:r>
          </w:p>
        </w:tc>
      </w:tr>
    </w:tbl>
    <w:p w14:paraId="26E0757D" w14:textId="1CA3C190" w:rsidR="009E0BE2" w:rsidRDefault="008627D9" w:rsidP="00751D04">
      <w:pPr>
        <w:spacing w:after="0" w:line="240" w:lineRule="auto"/>
      </w:pPr>
    </w:p>
    <w:sectPr w:rsidR="009E0BE2" w:rsidSect="00F67DE7">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A26E" w14:textId="77777777" w:rsidR="00EA3479" w:rsidRDefault="00EA3479" w:rsidP="00751D04">
      <w:pPr>
        <w:spacing w:after="0" w:line="240" w:lineRule="auto"/>
      </w:pPr>
      <w:r>
        <w:separator/>
      </w:r>
    </w:p>
  </w:endnote>
  <w:endnote w:type="continuationSeparator" w:id="0">
    <w:p w14:paraId="0947FC63" w14:textId="77777777" w:rsidR="00EA3479" w:rsidRDefault="00EA3479" w:rsidP="0075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3BCE" w14:textId="2CD79481" w:rsidR="006327EB" w:rsidRPr="006327EB" w:rsidRDefault="006327EB">
    <w:pPr>
      <w:pStyle w:val="Footer"/>
      <w:rPr>
        <w:rFonts w:ascii="Arial" w:hAnsi="Arial" w:cs="Arial"/>
        <w:i/>
        <w:iCs/>
        <w:sz w:val="16"/>
        <w:szCs w:val="16"/>
      </w:rPr>
    </w:pPr>
    <w:r w:rsidRPr="006327EB">
      <w:rPr>
        <w:rFonts w:ascii="Arial" w:hAnsi="Arial" w:cs="Arial"/>
        <w:i/>
        <w:iCs/>
        <w:sz w:val="16"/>
        <w:szCs w:val="16"/>
      </w:rPr>
      <w:t>Last Updated 10-26-22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8B3D" w14:textId="77777777" w:rsidR="00EA3479" w:rsidRDefault="00EA3479" w:rsidP="00751D04">
      <w:pPr>
        <w:spacing w:after="0" w:line="240" w:lineRule="auto"/>
      </w:pPr>
      <w:r>
        <w:separator/>
      </w:r>
    </w:p>
  </w:footnote>
  <w:footnote w:type="continuationSeparator" w:id="0">
    <w:p w14:paraId="7F5F96EB" w14:textId="77777777" w:rsidR="00EA3479" w:rsidRDefault="00EA3479" w:rsidP="0075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E4CE" w14:textId="6DED5E55" w:rsidR="00F67DE7" w:rsidRDefault="00F67DE7">
    <w:pPr>
      <w:pStyle w:val="Header"/>
    </w:pPr>
    <w:r>
      <w:rPr>
        <w:noProof/>
      </w:rPr>
      <w:drawing>
        <wp:anchor distT="0" distB="0" distL="114300" distR="114300" simplePos="0" relativeHeight="251659264" behindDoc="0" locked="0" layoutInCell="1" allowOverlap="1" wp14:anchorId="4648D36C" wp14:editId="5C4147C3">
          <wp:simplePos x="0" y="0"/>
          <wp:positionH relativeFrom="margin">
            <wp:posOffset>0</wp:posOffset>
          </wp:positionH>
          <wp:positionV relativeFrom="paragraph">
            <wp:posOffset>-60325</wp:posOffset>
          </wp:positionV>
          <wp:extent cx="1573530" cy="495300"/>
          <wp:effectExtent l="0" t="0" r="7620" b="0"/>
          <wp:wrapNone/>
          <wp:docPr id="1" name="Picture 1" descr="N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535"/>
    <w:multiLevelType w:val="hybridMultilevel"/>
    <w:tmpl w:val="C2EEC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011BD"/>
    <w:multiLevelType w:val="hybridMultilevel"/>
    <w:tmpl w:val="81F8A9C8"/>
    <w:lvl w:ilvl="0" w:tplc="E370BF8C">
      <w:start w:val="1"/>
      <w:numFmt w:val="upperLetter"/>
      <w:lvlText w:val="%1."/>
      <w:lvlJc w:val="left"/>
      <w:pPr>
        <w:ind w:left="1224" w:hanging="360"/>
      </w:pPr>
      <w:rPr>
        <w:b w:val="0"/>
        <w:bCs/>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62DB29FE"/>
    <w:multiLevelType w:val="hybridMultilevel"/>
    <w:tmpl w:val="4658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C4684"/>
    <w:multiLevelType w:val="hybridMultilevel"/>
    <w:tmpl w:val="F858C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8509297">
    <w:abstractNumId w:val="0"/>
  </w:num>
  <w:num w:numId="2" w16cid:durableId="1539658885">
    <w:abstractNumId w:val="3"/>
  </w:num>
  <w:num w:numId="3" w16cid:durableId="1659185136">
    <w:abstractNumId w:val="1"/>
  </w:num>
  <w:num w:numId="4" w16cid:durableId="16809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04"/>
    <w:rsid w:val="00031D5C"/>
    <w:rsid w:val="0003264F"/>
    <w:rsid w:val="00042CE4"/>
    <w:rsid w:val="0009549A"/>
    <w:rsid w:val="000C1948"/>
    <w:rsid w:val="000D4CC8"/>
    <w:rsid w:val="000E07F8"/>
    <w:rsid w:val="00106946"/>
    <w:rsid w:val="00121299"/>
    <w:rsid w:val="00157CC4"/>
    <w:rsid w:val="001A1B42"/>
    <w:rsid w:val="001B4799"/>
    <w:rsid w:val="001C610C"/>
    <w:rsid w:val="001E1CA2"/>
    <w:rsid w:val="002139A2"/>
    <w:rsid w:val="00227DF5"/>
    <w:rsid w:val="00264E78"/>
    <w:rsid w:val="00280B49"/>
    <w:rsid w:val="0028366B"/>
    <w:rsid w:val="00293EE2"/>
    <w:rsid w:val="002E3D4E"/>
    <w:rsid w:val="00315DCE"/>
    <w:rsid w:val="00362AA9"/>
    <w:rsid w:val="00366899"/>
    <w:rsid w:val="003827D9"/>
    <w:rsid w:val="00391172"/>
    <w:rsid w:val="003B39A5"/>
    <w:rsid w:val="003B60BC"/>
    <w:rsid w:val="0041000A"/>
    <w:rsid w:val="004243D8"/>
    <w:rsid w:val="0043442C"/>
    <w:rsid w:val="00446C21"/>
    <w:rsid w:val="004B04F7"/>
    <w:rsid w:val="004B36B1"/>
    <w:rsid w:val="004C2B75"/>
    <w:rsid w:val="004D781F"/>
    <w:rsid w:val="004E4401"/>
    <w:rsid w:val="004E72B5"/>
    <w:rsid w:val="005059A0"/>
    <w:rsid w:val="00552373"/>
    <w:rsid w:val="00571F1E"/>
    <w:rsid w:val="005877D4"/>
    <w:rsid w:val="005F183A"/>
    <w:rsid w:val="0061528F"/>
    <w:rsid w:val="006327EB"/>
    <w:rsid w:val="00677D56"/>
    <w:rsid w:val="00690FBF"/>
    <w:rsid w:val="006B4E61"/>
    <w:rsid w:val="006B58DB"/>
    <w:rsid w:val="006E6F9B"/>
    <w:rsid w:val="00720DEF"/>
    <w:rsid w:val="007267C9"/>
    <w:rsid w:val="00751D04"/>
    <w:rsid w:val="00756AD3"/>
    <w:rsid w:val="007849F6"/>
    <w:rsid w:val="007E195E"/>
    <w:rsid w:val="007E7E11"/>
    <w:rsid w:val="007F6D00"/>
    <w:rsid w:val="00806E32"/>
    <w:rsid w:val="008627D9"/>
    <w:rsid w:val="00885AD9"/>
    <w:rsid w:val="008C4769"/>
    <w:rsid w:val="008C4B3F"/>
    <w:rsid w:val="008E2579"/>
    <w:rsid w:val="00902F3E"/>
    <w:rsid w:val="0096402B"/>
    <w:rsid w:val="00970E3E"/>
    <w:rsid w:val="009809E0"/>
    <w:rsid w:val="009C36B0"/>
    <w:rsid w:val="00A83F15"/>
    <w:rsid w:val="00A917CA"/>
    <w:rsid w:val="00AD49DF"/>
    <w:rsid w:val="00B2331F"/>
    <w:rsid w:val="00B34331"/>
    <w:rsid w:val="00B467D8"/>
    <w:rsid w:val="00BC6805"/>
    <w:rsid w:val="00C00ED2"/>
    <w:rsid w:val="00C178EB"/>
    <w:rsid w:val="00C300CE"/>
    <w:rsid w:val="00C6344D"/>
    <w:rsid w:val="00C84134"/>
    <w:rsid w:val="00C90219"/>
    <w:rsid w:val="00CB28CC"/>
    <w:rsid w:val="00CC5F47"/>
    <w:rsid w:val="00CD48CE"/>
    <w:rsid w:val="00CF02EA"/>
    <w:rsid w:val="00CF3A30"/>
    <w:rsid w:val="00D05CA6"/>
    <w:rsid w:val="00D22827"/>
    <w:rsid w:val="00D25A31"/>
    <w:rsid w:val="00D2635F"/>
    <w:rsid w:val="00D5762D"/>
    <w:rsid w:val="00D8545E"/>
    <w:rsid w:val="00D91ADF"/>
    <w:rsid w:val="00DA4A6A"/>
    <w:rsid w:val="00DE20BD"/>
    <w:rsid w:val="00E05C66"/>
    <w:rsid w:val="00E26776"/>
    <w:rsid w:val="00E37943"/>
    <w:rsid w:val="00E65C2F"/>
    <w:rsid w:val="00EA3479"/>
    <w:rsid w:val="00EA71B8"/>
    <w:rsid w:val="00ED44ED"/>
    <w:rsid w:val="00EE31CE"/>
    <w:rsid w:val="00EE6899"/>
    <w:rsid w:val="00EE6AF7"/>
    <w:rsid w:val="00F514BE"/>
    <w:rsid w:val="00F60628"/>
    <w:rsid w:val="00F67DE7"/>
    <w:rsid w:val="00FA4BF2"/>
    <w:rsid w:val="00FC47B6"/>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ACE7F"/>
  <w15:chartTrackingRefBased/>
  <w15:docId w15:val="{90E1AE6C-F710-408B-98A0-3961F860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04"/>
  </w:style>
  <w:style w:type="paragraph" w:styleId="Footer">
    <w:name w:val="footer"/>
    <w:basedOn w:val="Normal"/>
    <w:link w:val="FooterChar"/>
    <w:uiPriority w:val="99"/>
    <w:unhideWhenUsed/>
    <w:rsid w:val="0075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04"/>
  </w:style>
  <w:style w:type="character" w:styleId="CommentReference">
    <w:name w:val="annotation reference"/>
    <w:basedOn w:val="DefaultParagraphFont"/>
    <w:semiHidden/>
    <w:unhideWhenUsed/>
    <w:rsid w:val="00751D04"/>
    <w:rPr>
      <w:sz w:val="16"/>
      <w:szCs w:val="16"/>
    </w:rPr>
  </w:style>
  <w:style w:type="paragraph" w:styleId="CommentText">
    <w:name w:val="annotation text"/>
    <w:basedOn w:val="Normal"/>
    <w:link w:val="CommentTextChar"/>
    <w:uiPriority w:val="99"/>
    <w:unhideWhenUsed/>
    <w:rsid w:val="00751D04"/>
    <w:pPr>
      <w:spacing w:line="240" w:lineRule="auto"/>
    </w:pPr>
    <w:rPr>
      <w:sz w:val="20"/>
      <w:szCs w:val="20"/>
    </w:rPr>
  </w:style>
  <w:style w:type="character" w:customStyle="1" w:styleId="CommentTextChar">
    <w:name w:val="Comment Text Char"/>
    <w:basedOn w:val="DefaultParagraphFont"/>
    <w:link w:val="CommentText"/>
    <w:uiPriority w:val="99"/>
    <w:rsid w:val="00751D04"/>
    <w:rPr>
      <w:sz w:val="20"/>
      <w:szCs w:val="20"/>
    </w:rPr>
  </w:style>
  <w:style w:type="paragraph" w:styleId="CommentSubject">
    <w:name w:val="annotation subject"/>
    <w:basedOn w:val="CommentText"/>
    <w:next w:val="CommentText"/>
    <w:link w:val="CommentSubjectChar"/>
    <w:uiPriority w:val="99"/>
    <w:semiHidden/>
    <w:unhideWhenUsed/>
    <w:rsid w:val="00751D04"/>
    <w:rPr>
      <w:b/>
      <w:bCs/>
    </w:rPr>
  </w:style>
  <w:style w:type="character" w:customStyle="1" w:styleId="CommentSubjectChar">
    <w:name w:val="Comment Subject Char"/>
    <w:basedOn w:val="CommentTextChar"/>
    <w:link w:val="CommentSubject"/>
    <w:uiPriority w:val="99"/>
    <w:semiHidden/>
    <w:rsid w:val="00751D04"/>
    <w:rPr>
      <w:b/>
      <w:bCs/>
      <w:sz w:val="20"/>
      <w:szCs w:val="20"/>
    </w:rPr>
  </w:style>
  <w:style w:type="character" w:styleId="Hyperlink">
    <w:name w:val="Hyperlink"/>
    <w:basedOn w:val="DefaultParagraphFont"/>
    <w:uiPriority w:val="99"/>
    <w:unhideWhenUsed/>
    <w:rsid w:val="003B60BC"/>
    <w:rPr>
      <w:color w:val="0563C1" w:themeColor="hyperlink"/>
      <w:u w:val="single"/>
    </w:rPr>
  </w:style>
  <w:style w:type="character" w:styleId="UnresolvedMention">
    <w:name w:val="Unresolved Mention"/>
    <w:basedOn w:val="DefaultParagraphFont"/>
    <w:uiPriority w:val="99"/>
    <w:semiHidden/>
    <w:unhideWhenUsed/>
    <w:rsid w:val="003B60BC"/>
    <w:rPr>
      <w:color w:val="605E5C"/>
      <w:shd w:val="clear" w:color="auto" w:fill="E1DFDD"/>
    </w:rPr>
  </w:style>
  <w:style w:type="paragraph" w:customStyle="1" w:styleId="TableParagraph">
    <w:name w:val="Table Paragraph"/>
    <w:basedOn w:val="Normal"/>
    <w:uiPriority w:val="1"/>
    <w:qFormat/>
    <w:rsid w:val="003B60BC"/>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721">
      <w:bodyDiv w:val="1"/>
      <w:marLeft w:val="0"/>
      <w:marRight w:val="0"/>
      <w:marTop w:val="0"/>
      <w:marBottom w:val="0"/>
      <w:divBdr>
        <w:top w:val="none" w:sz="0" w:space="0" w:color="auto"/>
        <w:left w:val="none" w:sz="0" w:space="0" w:color="auto"/>
        <w:bottom w:val="none" w:sz="0" w:space="0" w:color="auto"/>
        <w:right w:val="none" w:sz="0" w:space="0" w:color="auto"/>
      </w:divBdr>
      <w:divsChild>
        <w:div w:id="12976373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David Kline</dc:creator>
  <cp:keywords/>
  <dc:description/>
  <cp:lastModifiedBy>Justina Weathersby-Martin</cp:lastModifiedBy>
  <cp:revision>2</cp:revision>
  <dcterms:created xsi:type="dcterms:W3CDTF">2023-03-29T18:18:00Z</dcterms:created>
  <dcterms:modified xsi:type="dcterms:W3CDTF">2023-03-29T18:18:00Z</dcterms:modified>
</cp:coreProperties>
</file>